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3" w:rsidRPr="00CB47B3" w:rsidRDefault="00CB47B3" w:rsidP="00CB47B3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222222"/>
          <w:sz w:val="36"/>
          <w:szCs w:val="36"/>
          <w:lang w:eastAsia="ru-RU"/>
        </w:rPr>
      </w:pPr>
      <w:bookmarkStart w:id="0" w:name="i513234"/>
      <w:r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 xml:space="preserve">Требования к узлам учета холодной воды выдержка </w:t>
      </w:r>
      <w:proofErr w:type="gramStart"/>
      <w:r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из</w:t>
      </w:r>
      <w:proofErr w:type="gramEnd"/>
    </w:p>
    <w:p w:rsidR="0037505C" w:rsidRPr="00CB47B3" w:rsidRDefault="00CB47B3" w:rsidP="00CB47B3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222222"/>
          <w:sz w:val="36"/>
          <w:szCs w:val="36"/>
          <w:lang w:eastAsia="ru-RU"/>
        </w:rPr>
      </w:pPr>
      <w:r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«</w:t>
      </w:r>
      <w:r w:rsidR="0037505C"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СП 30.13330.20</w:t>
      </w:r>
      <w:r w:rsidR="006A01C0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20</w:t>
      </w:r>
      <w:r w:rsidR="0037505C"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 xml:space="preserve"> Внутренний водопровод и канализация зданий</w:t>
      </w:r>
      <w:r w:rsidRPr="00CB47B3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»</w:t>
      </w:r>
    </w:p>
    <w:p w:rsidR="0037505C" w:rsidRDefault="0037505C" w:rsidP="0037505C">
      <w:pPr>
        <w:spacing w:before="120" w:after="12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6A01C0" w:rsidRDefault="006A01C0" w:rsidP="006A01C0">
      <w:pPr>
        <w:pStyle w:val="ConsPlusTitle"/>
        <w:ind w:firstLine="540"/>
        <w:jc w:val="both"/>
        <w:outlineLvl w:val="1"/>
      </w:pPr>
      <w:r>
        <w:t>12 Устройства для измерения расхода воды</w:t>
      </w:r>
    </w:p>
    <w:p w:rsidR="006A01C0" w:rsidRDefault="006A01C0" w:rsidP="006A01C0">
      <w:pPr>
        <w:pStyle w:val="ConsPlusNormal"/>
        <w:jc w:val="both"/>
      </w:pPr>
    </w:p>
    <w:p w:rsidR="006A01C0" w:rsidRDefault="006A01C0" w:rsidP="006A01C0">
      <w:pPr>
        <w:pStyle w:val="ConsPlusNormal"/>
        <w:ind w:firstLine="540"/>
        <w:jc w:val="both"/>
      </w:pPr>
      <w:r>
        <w:t xml:space="preserve">12.1 Для вновь строящихся, реконструируемых и капитально ремонтируемых зданий с системами холодного и горячего водоснабжения следует предусматривать приборы </w:t>
      </w:r>
      <w:bookmarkStart w:id="1" w:name="_GoBack"/>
      <w:bookmarkEnd w:id="1"/>
      <w:r>
        <w:t xml:space="preserve">измерения водопотребления (счетчики холодной и горячей воды), параметры которых должны соответствовать метрологическому классу B по ГОСТ </w:t>
      </w:r>
      <w:proofErr w:type="gramStart"/>
      <w:r>
        <w:t>Р</w:t>
      </w:r>
      <w:proofErr w:type="gramEnd"/>
      <w:r>
        <w:t xml:space="preserve"> 50193.1, </w:t>
      </w:r>
      <w:hyperlink w:anchor="Par6568" w:tooltip="[10] Постановление Правительства Российской Федерации от 4 сентября 2013 г. N 776 &quot;Об утверждении Правил организации коммерческого учета воды, сточных вод&quot;" w:history="1">
        <w:r>
          <w:rPr>
            <w:color w:val="0000FF"/>
          </w:rPr>
          <w:t>[10]</w:t>
        </w:r>
      </w:hyperlink>
      <w:r>
        <w:t xml:space="preserve"> и требованиям настоящего раздела.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12.2 Счетчики воды следует устанавливать на границе балансовой принадлежности сетей или на границе эксплуатационной ответственности абонента </w:t>
      </w:r>
      <w:hyperlink w:anchor="Par6567" w:tooltip="[9] Постановление Правительства Российской Федерации от 29 июля 2013 г. N 644 &quot;Об утверждении Правил холодного водоснабжения и водоотведения и о внесении изменений в некоторые акты Правительства Российской Федерации&quot;" w:history="1">
        <w:r>
          <w:rPr>
            <w:color w:val="0000FF"/>
          </w:rPr>
          <w:t>[9]</w:t>
        </w:r>
      </w:hyperlink>
      <w:r>
        <w:t xml:space="preserve">, а также на вводах трубопроводов холодной воды в каждое здание и сооружение. Установка водомерных узлов не на границе эксплуатационной ответственности допускается при выполнении требований </w:t>
      </w:r>
      <w:hyperlink w:anchor="Par6567" w:tooltip="[9] Постановление Правительства Российской Федерации от 29 июля 2013 г. N 644 &quot;Об утверждении Правил холодного водоснабжения и водоотведения и о внесении изменений в некоторые акты Правительства Российской Федерации&quot;" w:history="1">
        <w:r>
          <w:rPr>
            <w:color w:val="0000FF"/>
          </w:rPr>
          <w:t>[9]</w:t>
        </w:r>
      </w:hyperlink>
      <w:r>
        <w:t>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В тепловых пунктах (центральных или индивидуальных) для измерения расхода потребляемой горячей воды счетчики следует устанавливать на трубопроводах, подающих холодную воду к водонагревателям.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12.3</w:t>
      </w:r>
      <w:proofErr w:type="gramStart"/>
      <w:r>
        <w:t xml:space="preserve"> Н</w:t>
      </w:r>
      <w:proofErr w:type="gramEnd"/>
      <w:r>
        <w:t>а ответвлениях трубопроводов к отдельным помещениям, а также на подводках к отдельным санитарным приборам и технологическому оборудованию счетчики воды устанавливают по заданию на проектирование.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12.4</w:t>
      </w:r>
      <w:proofErr w:type="gramStart"/>
      <w:r>
        <w:t xml:space="preserve"> П</w:t>
      </w:r>
      <w:proofErr w:type="gramEnd"/>
      <w:r>
        <w:t>еред счетчиками (по ходу движения воды) следует предусматривать установку механических или магнитно-механических фильтров.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12.5 Счетчики холодной (горячей) воды следует устанавливать в удобном и легкодоступном помещении с искусственным и (или) естественным освещением и температурой воздуха не ниже 5 °C. Счетчики необходимо размещать так, чтобы к ним был доступ для считывания показаний. Для счетчиков с массой более 25 кг должно быть предусмотрено достаточное пространство над счетчиками для установки подъемного механизма.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12.6 Счетчики воды должны быть защищены от вибрации. Счетчики не должны подвергаться механическим напряжениям под воздействием трубопроводов и запорной арматуры.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12.7</w:t>
      </w:r>
      <w:proofErr w:type="gramStart"/>
      <w:r>
        <w:t xml:space="preserve"> П</w:t>
      </w:r>
      <w:proofErr w:type="gramEnd"/>
      <w:r>
        <w:t>ри невозможности размещения счетчиков холодной и (или) горячей воды в здании допускается устанавливать их вне здания в специальных камерах или колодцах только в том случае, если в паспорте счетчика указано, что он может работать в условиях затопления.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12.8 Счетчики холодной и горячей воды следует устанавливать на горизонтальных участках трубопроводов. Допускается установка счетчиков воды на вертикальных или наклонных участках трубопроводов, если такая установка предусмотрена паспортом счетчика. При размещении квартирных счетчиков холодной и горячей воды на вертикальных участках трубопроводов применяют счетчики, соответствующие метрологическому классу A по ГОСТ </w:t>
      </w:r>
      <w:proofErr w:type="gramStart"/>
      <w:r>
        <w:t>Р</w:t>
      </w:r>
      <w:proofErr w:type="gramEnd"/>
      <w:r>
        <w:t xml:space="preserve"> 50193.1.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lastRenderedPageBreak/>
        <w:t>12.9</w:t>
      </w:r>
      <w:proofErr w:type="gramStart"/>
      <w:r>
        <w:t xml:space="preserve"> П</w:t>
      </w:r>
      <w:proofErr w:type="gramEnd"/>
      <w:r>
        <w:t>ри конструировании трубной обвязки узлов установки счетчиков холодной и горячей воды следует: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- с каждой стороны счетчика предусматривать установку запорной арматуры, обеспечивающей отключение воды на участке с установленным счетчиком (шаровые краны, задвижки с обрезиненным клином); для квартир в жилых зданиях и для индивидуальных жилых зданий запорная арматура устанавливается только до счетчиков (по ходу движения воды);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proofErr w:type="gramStart"/>
      <w:r>
        <w:t>- между счетчиком (кроме квартирных) и вторым (по ходу движения воды) запорным устройством предусматривать контрольный шаровой кран (с постоянно установленной заглушкой), предназначенный для подключения устройств метрологической поверки счетчиков.</w:t>
      </w:r>
      <w:proofErr w:type="gramEnd"/>
      <w:r>
        <w:t xml:space="preserve"> Такой же кран следует предусматривать на расстоянии не более 0,5 м после запорного устройства: для </w:t>
      </w:r>
      <w:proofErr w:type="spellStart"/>
      <w:r>
        <w:t>крыльчатых</w:t>
      </w:r>
      <w:proofErr w:type="spellEnd"/>
      <w:r>
        <w:t xml:space="preserve"> счетчиков воды (с диаметром до 50 мм) диаметр контрольных кранов - 15 мм, для турбинных (с диаметром более 50 мм) - 25 мм;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- с каждой стороны счетчиков предусматривать прямые участки трубопроводов, длина которых устанавливается в соответствии с требованиями паспортов приборов.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12.10 Обводную линию у счетчиков холодной воды (за исключением индивидуальных жилых зданий) следует предусматривать, если: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- имеется один ввод водопровода в здание;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- счетчик воды не рассчитан на пропуск расчетного расхода воды (с учетом расхода воды на пожаротушение).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12.11</w:t>
      </w:r>
      <w:proofErr w:type="gramStart"/>
      <w:r>
        <w:t xml:space="preserve"> В</w:t>
      </w:r>
      <w:proofErr w:type="gramEnd"/>
      <w:r>
        <w:t xml:space="preserve">се запорные устройства узла установки </w:t>
      </w:r>
      <w:proofErr w:type="spellStart"/>
      <w:r>
        <w:t>водосчетчика</w:t>
      </w:r>
      <w:proofErr w:type="spellEnd"/>
      <w:r>
        <w:t xml:space="preserve"> должны быть в открытом состоянии, а запорное устройство на обводной линии - опломбировано в закрытом состоянии. В том случае, если не выполняются требования </w:t>
      </w:r>
      <w:hyperlink w:anchor="Par999" w:tooltip="12.16 Счетчик с предварительно принятым по таблице 12.1 диаметром условного прохода следует проверять:" w:history="1">
        <w:r>
          <w:rPr>
            <w:color w:val="0000FF"/>
          </w:rPr>
          <w:t>12.16</w:t>
        </w:r>
      </w:hyperlink>
      <w:r>
        <w:t xml:space="preserve">, запорное устройство на обводной линии </w:t>
      </w:r>
      <w:proofErr w:type="spellStart"/>
      <w:r>
        <w:t>водосчетчика</w:t>
      </w:r>
      <w:proofErr w:type="spellEnd"/>
      <w:r>
        <w:t xml:space="preserve"> следует оборудовать электроприводом с пуском от кнопок, установленных у пожарных кранов, или от устройств (систем) противопожарной автоматики.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При недостаточном для пожаротушения давлении воды в водопроводной сети здания или сооружения открывание запорного устройства на обводной линии должно обеспечиваться одновременно с пуском противопожарных насосов.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12.12</w:t>
      </w:r>
      <w:proofErr w:type="gramStart"/>
      <w:r>
        <w:t xml:space="preserve"> В</w:t>
      </w:r>
      <w:proofErr w:type="gramEnd"/>
      <w:r>
        <w:t xml:space="preserve"> системах горячего водоснабжения устройство обводных линий у счетчиков не требуется. В системе раздельного противопожарного водоснабжения счетчики воды не устанавливают. При двух вводах водопровода допускается устанавливать счетчики воды на каждом вводе без обводных линий, если каждый из счетчиков соответствует требованиям </w:t>
      </w:r>
      <w:hyperlink w:anchor="Par1001" w:tooltip="б) на пропуск максимального (расчетного) секундного расхода воды с учетом подачи расчетного расхода воды на внутреннее пожаротушение; при этом потери давления в счетчике не должны превышать 10 м вод. ст. (0,1 МПа) - для крыльчатых и 5 м вод. ст. (0,05 МПа) - для турбинных счетчиков;" w:history="1">
        <w:r>
          <w:rPr>
            <w:color w:val="0000FF"/>
          </w:rPr>
          <w:t>12.16, переч</w:t>
        </w:r>
        <w:r>
          <w:rPr>
            <w:color w:val="0000FF"/>
          </w:rPr>
          <w:t>и</w:t>
        </w:r>
        <w:r>
          <w:rPr>
            <w:color w:val="0000FF"/>
          </w:rPr>
          <w:t>сление б)</w:t>
        </w:r>
      </w:hyperlink>
      <w:r>
        <w:t>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12.13 Счетчики холодной и горячей воды, устанавливаемые в жилых и общественных зданиях (в том числе квартирные), должны иметь возможность дистанционной передачи данных.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>Возможность передачи данных счетчиком (с наличием выхода импульсов, цифровой выход типа RS-485 или с выходом по радиоканалу) определяется проектом.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Счетчики холодной и горячей воды следует устанавливать на вводах в каждую квартиру жилых зданий. Перед домовыми и квартирными </w:t>
      </w:r>
      <w:proofErr w:type="spellStart"/>
      <w:r>
        <w:t>водосчетчиками</w:t>
      </w:r>
      <w:proofErr w:type="spellEnd"/>
      <w:r>
        <w:t xml:space="preserve"> на металлических трубопроводах следует устанавливать механические или магнитно-механические фильтры. После </w:t>
      </w:r>
      <w:proofErr w:type="spellStart"/>
      <w:r>
        <w:t>водосчетчика</w:t>
      </w:r>
      <w:proofErr w:type="spellEnd"/>
      <w:r>
        <w:t xml:space="preserve"> следует устанавливать обратный клапан.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lastRenderedPageBreak/>
        <w:t xml:space="preserve">12.14 Диаметр условного прохода счетчика воды следует выбирать исходя из среднечасового расхода воды за период потребления (сутки, смену), который не должен превышать эксплуатационный, принимаемый по таблице 12.1, и проверять согласно указаниям </w:t>
      </w:r>
      <w:hyperlink w:anchor="Par999" w:tooltip="12.16 Счетчик с предварительно принятым по таблице 12.1 диаметром условного прохода следует проверять:" w:history="1">
        <w:r>
          <w:rPr>
            <w:color w:val="0000FF"/>
          </w:rPr>
          <w:t>12.16</w:t>
        </w:r>
      </w:hyperlink>
      <w:r>
        <w:t xml:space="preserve"> или по паспорту </w:t>
      </w:r>
      <w:proofErr w:type="spellStart"/>
      <w:r>
        <w:t>водосчетчика</w:t>
      </w:r>
      <w:proofErr w:type="spellEnd"/>
      <w:r>
        <w:t>.</w:t>
      </w:r>
    </w:p>
    <w:p w:rsidR="006A01C0" w:rsidRDefault="006A01C0" w:rsidP="006A01C0">
      <w:pPr>
        <w:pStyle w:val="ConsPlusNormal"/>
        <w:jc w:val="both"/>
      </w:pPr>
    </w:p>
    <w:p w:rsidR="006A01C0" w:rsidRDefault="006A01C0" w:rsidP="006A01C0">
      <w:pPr>
        <w:pStyle w:val="ConsPlusNormal"/>
        <w:jc w:val="right"/>
      </w:pPr>
      <w:bookmarkStart w:id="2" w:name="Par897"/>
      <w:bookmarkEnd w:id="2"/>
      <w:r>
        <w:t>Таблица 12.1</w:t>
      </w:r>
    </w:p>
    <w:p w:rsidR="006A01C0" w:rsidRDefault="006A01C0" w:rsidP="006A01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77"/>
        <w:gridCol w:w="1191"/>
        <w:gridCol w:w="1247"/>
        <w:gridCol w:w="1417"/>
        <w:gridCol w:w="1871"/>
      </w:tblGrid>
      <w:tr w:rsidR="006A01C0" w:rsidTr="007675B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 xml:space="preserve">Диаметр условного прохода счетчика,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Параметры</w:t>
            </w:r>
          </w:p>
        </w:tc>
      </w:tr>
      <w:tr w:rsidR="006A01C0" w:rsidTr="007675B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both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Порог чувствительности, м</w:t>
            </w:r>
            <w:r>
              <w:rPr>
                <w:vertAlign w:val="superscript"/>
              </w:rPr>
              <w:t>3</w:t>
            </w:r>
            <w:r>
              <w:t>/ч, не более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Максимальный объем воды за сутки,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 xml:space="preserve">Гидравлическое сопротивление счетчика </w:t>
            </w:r>
            <w:r>
              <w:rPr>
                <w:i/>
                <w:iCs/>
              </w:rPr>
              <w:t>S</w:t>
            </w:r>
            <w:r>
              <w:t>,</w:t>
            </w:r>
          </w:p>
          <w:p w:rsidR="006A01C0" w:rsidRDefault="006A01C0" w:rsidP="007675B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501015" cy="5010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1C0" w:rsidTr="007675B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Эксплуатационный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Максимальный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0" w:rsidRDefault="006A01C0" w:rsidP="007675B5">
            <w:pPr>
              <w:pStyle w:val="ConsPlusNormal"/>
              <w:jc w:val="center"/>
            </w:pPr>
          </w:p>
        </w:tc>
      </w:tr>
      <w:tr w:rsidR="006A01C0" w:rsidTr="007675B5"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14,5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5,18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2,64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1,3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0,143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810·10</w:t>
            </w:r>
            <w:r>
              <w:rPr>
                <w:vertAlign w:val="superscript"/>
              </w:rPr>
              <w:t>-5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264·10</w:t>
            </w:r>
            <w:r>
              <w:rPr>
                <w:vertAlign w:val="superscript"/>
              </w:rPr>
              <w:t>-5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76,6·10</w:t>
            </w:r>
            <w:r>
              <w:rPr>
                <w:vertAlign w:val="superscript"/>
              </w:rPr>
              <w:t>-5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13·10</w:t>
            </w:r>
            <w:r>
              <w:rPr>
                <w:vertAlign w:val="superscript"/>
              </w:rPr>
              <w:t>-5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3,5·10</w:t>
            </w:r>
            <w:r>
              <w:rPr>
                <w:vertAlign w:val="superscript"/>
              </w:rPr>
              <w:t>-5</w:t>
            </w:r>
          </w:p>
        </w:tc>
      </w:tr>
      <w:tr w:rsidR="006A01C0" w:rsidTr="007675B5"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0" w:rsidRDefault="006A01C0" w:rsidP="007675B5">
            <w:pPr>
              <w:pStyle w:val="ConsPlusNormal"/>
              <w:jc w:val="center"/>
            </w:pPr>
            <w:r>
              <w:t>1,8·10</w:t>
            </w:r>
            <w:r>
              <w:rPr>
                <w:vertAlign w:val="superscript"/>
              </w:rPr>
              <w:t>-5</w:t>
            </w:r>
          </w:p>
        </w:tc>
      </w:tr>
    </w:tbl>
    <w:p w:rsidR="006A01C0" w:rsidRDefault="006A01C0" w:rsidP="006A01C0">
      <w:pPr>
        <w:pStyle w:val="ConsPlusNormal"/>
        <w:jc w:val="both"/>
      </w:pPr>
    </w:p>
    <w:p w:rsidR="006A01C0" w:rsidRDefault="006A01C0" w:rsidP="006A01C0">
      <w:pPr>
        <w:pStyle w:val="ConsPlusNormal"/>
        <w:ind w:firstLine="540"/>
        <w:jc w:val="both"/>
      </w:pPr>
      <w:bookmarkStart w:id="3" w:name="Par994"/>
      <w:bookmarkEnd w:id="3"/>
      <w:r>
        <w:t xml:space="preserve">12.15 Потери напора (давления) в счетчиках </w:t>
      </w:r>
      <w:r>
        <w:rPr>
          <w:i/>
          <w:iCs/>
        </w:rPr>
        <w:t>h</w:t>
      </w:r>
      <w:r>
        <w:t>, 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т., при максимальном расчетном расходе воды </w:t>
      </w:r>
      <w:r>
        <w:rPr>
          <w:i/>
          <w:iCs/>
        </w:rPr>
        <w:t>q</w:t>
      </w:r>
      <w:r>
        <w:t xml:space="preserve"> (</w:t>
      </w:r>
      <w:proofErr w:type="spellStart"/>
      <w:r>
        <w:rPr>
          <w:i/>
          <w:iCs/>
        </w:rPr>
        <w:t>q</w:t>
      </w:r>
      <w:r>
        <w:rPr>
          <w:i/>
          <w:iCs/>
          <w:vertAlign w:val="superscript"/>
        </w:rPr>
        <w:t>tot</w:t>
      </w:r>
      <w:proofErr w:type="spellEnd"/>
      <w:r>
        <w:t xml:space="preserve">, </w:t>
      </w:r>
      <w:proofErr w:type="spellStart"/>
      <w:r>
        <w:rPr>
          <w:i/>
          <w:iCs/>
        </w:rPr>
        <w:t>q</w:t>
      </w:r>
      <w:r>
        <w:rPr>
          <w:i/>
          <w:iCs/>
          <w:vertAlign w:val="superscript"/>
        </w:rPr>
        <w:t>h</w:t>
      </w:r>
      <w:proofErr w:type="spellEnd"/>
      <w:r>
        <w:t xml:space="preserve">, </w:t>
      </w:r>
      <w:proofErr w:type="spellStart"/>
      <w:r>
        <w:rPr>
          <w:i/>
          <w:iCs/>
        </w:rPr>
        <w:t>q</w:t>
      </w:r>
      <w:r>
        <w:rPr>
          <w:i/>
          <w:iCs/>
          <w:vertAlign w:val="superscript"/>
        </w:rPr>
        <w:t>c</w:t>
      </w:r>
      <w:proofErr w:type="spellEnd"/>
      <w:r>
        <w:t>), л/с, следует определять по формуле</w:t>
      </w:r>
    </w:p>
    <w:p w:rsidR="006A01C0" w:rsidRDefault="006A01C0" w:rsidP="006A01C0">
      <w:pPr>
        <w:pStyle w:val="ConsPlusNormal"/>
        <w:jc w:val="both"/>
      </w:pPr>
    </w:p>
    <w:p w:rsidR="006A01C0" w:rsidRDefault="006A01C0" w:rsidP="006A01C0">
      <w:pPr>
        <w:pStyle w:val="ConsPlusNormal"/>
        <w:jc w:val="center"/>
      </w:pPr>
      <w:r>
        <w:rPr>
          <w:i/>
          <w:iCs/>
        </w:rPr>
        <w:t>h</w:t>
      </w:r>
      <w:r>
        <w:t xml:space="preserve"> = </w:t>
      </w:r>
      <w:r>
        <w:rPr>
          <w:i/>
          <w:iCs/>
        </w:rPr>
        <w:t>Sq</w:t>
      </w:r>
      <w:r>
        <w:rPr>
          <w:vertAlign w:val="superscript"/>
        </w:rPr>
        <w:t>2</w:t>
      </w:r>
      <w:r>
        <w:t>, (18)</w:t>
      </w:r>
    </w:p>
    <w:p w:rsidR="006A01C0" w:rsidRDefault="006A01C0" w:rsidP="006A01C0">
      <w:pPr>
        <w:pStyle w:val="ConsPlusNormal"/>
        <w:jc w:val="both"/>
      </w:pPr>
    </w:p>
    <w:p w:rsidR="006A01C0" w:rsidRDefault="006A01C0" w:rsidP="006A01C0">
      <w:pPr>
        <w:pStyle w:val="ConsPlusNormal"/>
        <w:ind w:firstLine="540"/>
        <w:jc w:val="both"/>
      </w:pPr>
      <w:r>
        <w:t xml:space="preserve">где </w:t>
      </w:r>
      <w:r>
        <w:rPr>
          <w:i/>
          <w:iCs/>
        </w:rPr>
        <w:t>S -</w:t>
      </w:r>
      <w:r>
        <w:t xml:space="preserve"> гидравлическое сопротивление счетчика, принимаемое по </w:t>
      </w:r>
      <w:hyperlink w:anchor="Par897" w:tooltip="Таблица 12.1" w:history="1">
        <w:r>
          <w:rPr>
            <w:color w:val="0000FF"/>
          </w:rPr>
          <w:t>таблице 12.1</w:t>
        </w:r>
      </w:hyperlink>
      <w:r>
        <w:t>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bookmarkStart w:id="4" w:name="Par999"/>
      <w:bookmarkEnd w:id="4"/>
      <w:r>
        <w:t xml:space="preserve">12.16 Счетчик с предварительно принятым по </w:t>
      </w:r>
      <w:hyperlink w:anchor="Par897" w:tooltip="Таблица 12.1" w:history="1">
        <w:r>
          <w:rPr>
            <w:color w:val="0000FF"/>
          </w:rPr>
          <w:t>таблице 12.1</w:t>
        </w:r>
      </w:hyperlink>
      <w:r>
        <w:t xml:space="preserve"> диаметром условного прохода следует проверять: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bookmarkStart w:id="5" w:name="Par1000"/>
      <w:bookmarkEnd w:id="5"/>
      <w:r>
        <w:t>а) на пропуск максимального (расчетного) секундного расхода воды; при этом потери напора (давления) в счетчиках холодной воды не должны превышать: 5 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(0,05 МПа) - для </w:t>
      </w:r>
      <w:proofErr w:type="spellStart"/>
      <w:r>
        <w:t>крыльчатых</w:t>
      </w:r>
      <w:proofErr w:type="spellEnd"/>
      <w:r>
        <w:t xml:space="preserve"> и 2,5 м вод. ст. (0,025 МПа) - для турбинных счетчиков;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bookmarkStart w:id="6" w:name="Par1001"/>
      <w:bookmarkEnd w:id="6"/>
      <w:r>
        <w:t>б) на пропуск максимального (расчетного) секундного расхода воды с учетом подачи расчетного расхода воды на внутреннее пожаротушение; при этом потери давления в счетчике не должны превышать 10 м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(0,1 МПа) - для </w:t>
      </w:r>
      <w:proofErr w:type="spellStart"/>
      <w:r>
        <w:t>крыльчатых</w:t>
      </w:r>
      <w:proofErr w:type="spellEnd"/>
      <w:r>
        <w:t xml:space="preserve"> и 5 м вод. ст. </w:t>
      </w:r>
      <w:r>
        <w:lastRenderedPageBreak/>
        <w:t>(0,05 МПа) - для турбинных счетчиков;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bookmarkStart w:id="7" w:name="Par1002"/>
      <w:bookmarkEnd w:id="7"/>
      <w:r>
        <w:t>в) на возможность измерения минимальных (расчетных) часовых расходов холодной и горячей воды; при этом минимальный расход воды для выбранного счетчика (по паспорту прибора в зависимости от метрологического класса) должен превышать минимальный (расчетный) часовой расход воды.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12.17 Если выбранный счетчик не соответствует условиям </w:t>
      </w:r>
      <w:hyperlink w:anchor="Par1000" w:tooltip="а) на пропуск максимального (расчетного) секундного расхода воды; при этом потери напора (давления) в счетчиках холодной воды не должны превышать: 5 м вод. ст. (0,05 МПа) - для крыльчатых и 2,5 м вод. ст. (0,025 МПа) - для турбинных счетчиков;" w:history="1">
        <w:r>
          <w:rPr>
            <w:color w:val="0000FF"/>
          </w:rPr>
          <w:t>перечи</w:t>
        </w:r>
        <w:r>
          <w:rPr>
            <w:color w:val="0000FF"/>
          </w:rPr>
          <w:t>с</w:t>
        </w:r>
        <w:r>
          <w:rPr>
            <w:color w:val="0000FF"/>
          </w:rPr>
          <w:t>лений а)</w:t>
        </w:r>
      </w:hyperlink>
      <w:r>
        <w:t xml:space="preserve"> или </w:t>
      </w:r>
      <w:hyperlink w:anchor="Par1001" w:tooltip="б) на пропуск максимального (расчетного) секундного расхода воды с учетом подачи расчетного расхода воды на внутреннее пожаротушение; при этом потери давления в счетчике не должны превышать 10 м вод. ст. (0,1 МПа) - для крыльчатых и 5 м вод. ст. (0,05 МПа) - для турбинных счетчиков;" w:history="1">
        <w:r>
          <w:rPr>
            <w:color w:val="0000FF"/>
          </w:rPr>
          <w:t>б) 12.16</w:t>
        </w:r>
      </w:hyperlink>
      <w:r>
        <w:t xml:space="preserve">, то к установке следует принимать счетчик с ближайшим </w:t>
      </w:r>
      <w:r>
        <w:rPr>
          <w:noProof/>
          <w:position w:val="-2"/>
        </w:rPr>
        <w:drawing>
          <wp:inline distT="0" distB="0" distL="0" distR="0">
            <wp:extent cx="652145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диаметром по сортаменту. Если выбранный счетчик воды не соответствует условию </w:t>
      </w:r>
      <w:hyperlink w:anchor="Par1002" w:tooltip="в) на возможность измерения минимальных (расчетных) часовых расходов холодной и горячей воды; при этом минимальный расход воды для выбранного счетчика (по паспорту прибора в зависимости от метрологического класса) должен превышать минимальный (расчетный) часовой расход воды." w:history="1">
        <w:r>
          <w:rPr>
            <w:color w:val="0000FF"/>
          </w:rPr>
          <w:t>перечисления в)</w:t>
        </w:r>
      </w:hyperlink>
      <w:r>
        <w:t>, то к установке следует принимать счетчик с ближайшим меньшим диаметром по сортаменту.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Если счетчик не соответствует одновременно условиям </w:t>
      </w:r>
      <w:hyperlink w:anchor="Par1000" w:tooltip="а) на пропуск максимального (расчетного) секундного расхода воды; при этом потери напора (давления) в счетчиках холодной воды не должны превышать: 5 м вод. ст. (0,05 МПа) - для крыльчатых и 2,5 м вод. ст. (0,025 МПа) - для турбинных счетчиков;" w:history="1">
        <w:r>
          <w:rPr>
            <w:color w:val="0000FF"/>
          </w:rPr>
          <w:t>перечис</w:t>
        </w:r>
        <w:r>
          <w:rPr>
            <w:color w:val="0000FF"/>
          </w:rPr>
          <w:t>л</w:t>
        </w:r>
        <w:r>
          <w:rPr>
            <w:color w:val="0000FF"/>
          </w:rPr>
          <w:t>ений а)</w:t>
        </w:r>
      </w:hyperlink>
      <w:r>
        <w:t xml:space="preserve">, </w:t>
      </w:r>
      <w:hyperlink w:anchor="Par1002" w:tooltip="в) на возможность измерения минимальных (расчетных) часовых расходов холодной и горячей воды; при этом минимальный расход воды для выбранного счетчика (по паспорту прибора в зависимости от метрологического класса) должен превышать минимальный (расчетный) часовой расход воды." w:history="1">
        <w:r>
          <w:rPr>
            <w:color w:val="0000FF"/>
          </w:rPr>
          <w:t>в)</w:t>
        </w:r>
      </w:hyperlink>
      <w:r>
        <w:t xml:space="preserve"> или </w:t>
      </w:r>
      <w:hyperlink w:anchor="Par1001" w:tooltip="б) на пропуск максимального (расчетного) секундного расхода воды с учетом подачи расчетного расхода воды на внутреннее пожаротушение; при этом потери давления в счетчике не должны превышать 10 м вод. ст. (0,1 МПа) - для крыльчатых и 5 м вод. ст. (0,05 МПа) - для турбинных счетчиков;" w:history="1">
        <w:r>
          <w:rPr>
            <w:color w:val="0000FF"/>
          </w:rPr>
          <w:t>б)</w:t>
        </w:r>
      </w:hyperlink>
      <w:r>
        <w:t xml:space="preserve">, </w:t>
      </w:r>
      <w:hyperlink w:anchor="Par1002" w:tooltip="в) на возможность измерения минимальных (расчетных) часовых расходов холодной и горячей воды; при этом минимальный расход воды для выбранного счетчика (по паспорту прибора в зависимости от метрологического класса) должен превышать минимальный (расчетный) часовой расход воды." w:history="1">
        <w:r>
          <w:rPr>
            <w:color w:val="0000FF"/>
          </w:rPr>
          <w:t>в)</w:t>
        </w:r>
      </w:hyperlink>
      <w:r>
        <w:t>, то следует предусматривать установку: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- комбинированного счетчика (объединенные турбинный и </w:t>
      </w:r>
      <w:proofErr w:type="spellStart"/>
      <w:r>
        <w:t>крыльчатый</w:t>
      </w:r>
      <w:proofErr w:type="spellEnd"/>
      <w:r>
        <w:t xml:space="preserve"> счетчики со встроенным клапаном, переключающим поток воды);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- счетчика метрологического класса C (по ГОСТ </w:t>
      </w:r>
      <w:proofErr w:type="gramStart"/>
      <w:r>
        <w:t>Р</w:t>
      </w:r>
      <w:proofErr w:type="gramEnd"/>
      <w:r>
        <w:t xml:space="preserve"> 50193.1);</w:t>
      </w:r>
    </w:p>
    <w:p w:rsidR="006A01C0" w:rsidRDefault="006A01C0" w:rsidP="006A01C0">
      <w:pPr>
        <w:pStyle w:val="ConsPlusNormal"/>
        <w:spacing w:before="240"/>
        <w:ind w:firstLine="540"/>
        <w:jc w:val="both"/>
      </w:pPr>
      <w:r>
        <w:t xml:space="preserve">- нескольких счетчиков одинакового диаметра (устанавливаются параллельно), число которых определяется расчетом при условии выполнения требований </w:t>
      </w:r>
      <w:hyperlink w:anchor="Par999" w:tooltip="12.16 Счетчик с предварительно принятым по таблице 12.1 диаметром условного прохода следует проверять:" w:history="1">
        <w:r>
          <w:rPr>
            <w:color w:val="0000FF"/>
          </w:rPr>
          <w:t>12</w:t>
        </w:r>
        <w:r>
          <w:rPr>
            <w:color w:val="0000FF"/>
          </w:rPr>
          <w:t>.</w:t>
        </w:r>
        <w:r>
          <w:rPr>
            <w:color w:val="0000FF"/>
          </w:rPr>
          <w:t>16</w:t>
        </w:r>
      </w:hyperlink>
      <w:r>
        <w:t>.</w:t>
      </w:r>
    </w:p>
    <w:p w:rsidR="008C113E" w:rsidRDefault="008C113E"/>
    <w:sectPr w:rsidR="008C113E" w:rsidSect="003750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37505C"/>
    <w:rsid w:val="006A01C0"/>
    <w:rsid w:val="008C113E"/>
    <w:rsid w:val="00C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2020-01-25T07:05:00Z</dcterms:created>
  <dcterms:modified xsi:type="dcterms:W3CDTF">2021-06-28T08:50:00Z</dcterms:modified>
</cp:coreProperties>
</file>